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DC" w:rsidRPr="002B1FDC" w:rsidRDefault="002B1FDC" w:rsidP="002B1FDC">
      <w:pPr>
        <w:spacing w:before="300" w:after="300"/>
        <w:outlineLvl w:val="0"/>
        <w:rPr>
          <w:rFonts w:ascii="Helvetica Neue" w:eastAsia="Times New Roman" w:hAnsi="Helvetica Neue" w:cs="Times New Roman"/>
          <w:b/>
          <w:bCs/>
          <w:color w:val="000000"/>
          <w:kern w:val="36"/>
          <w:sz w:val="39"/>
          <w:szCs w:val="39"/>
        </w:rPr>
      </w:pPr>
      <w:r w:rsidRPr="002B1FDC">
        <w:rPr>
          <w:rFonts w:ascii="Helvetica Neue" w:eastAsia="Times New Roman" w:hAnsi="Helvetica Neue" w:cs="Times New Roman"/>
          <w:b/>
          <w:bCs/>
          <w:color w:val="000000"/>
          <w:kern w:val="36"/>
          <w:sz w:val="39"/>
          <w:szCs w:val="39"/>
        </w:rPr>
        <w:t>ALIZAPRIDA</w:t>
      </w:r>
    </w:p>
    <w:p w:rsidR="002B1FDC" w:rsidRPr="002B1FDC" w:rsidRDefault="002B1FDC" w:rsidP="002B1FDC">
      <w:pPr>
        <w:spacing w:before="300" w:after="300"/>
        <w:outlineLvl w:val="1"/>
        <w:rPr>
          <w:rFonts w:ascii="Helvetica Neue" w:eastAsia="Times New Roman" w:hAnsi="Helvetica Neue" w:cs="Times New Roman"/>
          <w:b/>
          <w:bCs/>
          <w:color w:val="000000"/>
          <w:sz w:val="33"/>
          <w:szCs w:val="33"/>
        </w:rPr>
      </w:pPr>
      <w:r w:rsidRPr="002B1FDC">
        <w:rPr>
          <w:rFonts w:ascii="Helvetica Neue" w:eastAsia="Times New Roman" w:hAnsi="Helvetica Neue" w:cs="Times New Roman"/>
          <w:b/>
          <w:bCs/>
          <w:color w:val="000000"/>
          <w:sz w:val="33"/>
          <w:szCs w:val="33"/>
        </w:rPr>
        <w:t>HUMAX</w:t>
      </w:r>
    </w:p>
    <w:p w:rsidR="002B1FDC" w:rsidRPr="002B1FDC" w:rsidRDefault="002B1FDC" w:rsidP="002B1FDC">
      <w:pPr>
        <w:rPr>
          <w:rFonts w:ascii="Helvetica" w:hAnsi="Helvetica" w:cs="Times New Roman"/>
          <w:color w:val="000000"/>
          <w:sz w:val="23"/>
          <w:szCs w:val="23"/>
        </w:rPr>
      </w:pPr>
      <w:r w:rsidRPr="002B1FDC">
        <w:rPr>
          <w:rFonts w:ascii="Helvetica" w:hAnsi="Helvetica" w:cs="Times New Roman"/>
          <w:i/>
          <w:iCs/>
          <w:color w:val="000000"/>
          <w:sz w:val="23"/>
          <w:szCs w:val="23"/>
        </w:rPr>
        <w:t>Antiemético.</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Composición.</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t xml:space="preserve">Cada tableta contiene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clorhidrato equivalente a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50mg. Cada ampolla de 2mL de solución inyectable contiene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clorhidrato equivalente a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base 50mg. Cada </w:t>
      </w:r>
      <w:proofErr w:type="spellStart"/>
      <w:r w:rsidRPr="002B1FDC">
        <w:rPr>
          <w:rFonts w:ascii="Helvetica" w:hAnsi="Helvetica" w:cs="Times New Roman"/>
          <w:color w:val="000000"/>
          <w:sz w:val="23"/>
          <w:szCs w:val="23"/>
        </w:rPr>
        <w:t>mL</w:t>
      </w:r>
      <w:proofErr w:type="spellEnd"/>
      <w:r w:rsidRPr="002B1FDC">
        <w:rPr>
          <w:rFonts w:ascii="Helvetica" w:hAnsi="Helvetica" w:cs="Times New Roman"/>
          <w:color w:val="000000"/>
          <w:sz w:val="23"/>
          <w:szCs w:val="23"/>
        </w:rPr>
        <w:t xml:space="preserve"> de solución oral contiene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clorhidrato equivalente a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base 12 mg.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Propiedades.</w:t>
      </w:r>
    </w:p>
    <w:p w:rsidR="002B1FDC" w:rsidRPr="002B1FDC" w:rsidRDefault="002B1FDC" w:rsidP="002B1FDC">
      <w:pPr>
        <w:rPr>
          <w:rFonts w:ascii="Helvetica" w:hAnsi="Helvetica" w:cs="Times New Roman"/>
          <w:color w:val="000000"/>
          <w:sz w:val="23"/>
          <w:szCs w:val="23"/>
        </w:rPr>
      </w:pPr>
      <w:r w:rsidRPr="002B1FDC">
        <w:rPr>
          <w:rFonts w:ascii="Helvetica" w:hAnsi="Helvetica" w:cs="Times New Roman"/>
          <w:i/>
          <w:iCs/>
          <w:color w:val="000000"/>
          <w:sz w:val="23"/>
          <w:szCs w:val="23"/>
        </w:rPr>
        <w:t>Mecanismo de acción: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es un </w:t>
      </w:r>
      <w:proofErr w:type="spellStart"/>
      <w:r w:rsidRPr="002B1FDC">
        <w:rPr>
          <w:rFonts w:ascii="Helvetica" w:hAnsi="Helvetica" w:cs="Times New Roman"/>
          <w:color w:val="000000"/>
          <w:sz w:val="23"/>
          <w:szCs w:val="23"/>
        </w:rPr>
        <w:t>antidopaminérgico</w:t>
      </w:r>
      <w:proofErr w:type="spellEnd"/>
      <w:r w:rsidRPr="002B1FDC">
        <w:rPr>
          <w:rFonts w:ascii="Helvetica" w:hAnsi="Helvetica" w:cs="Times New Roman"/>
          <w:color w:val="000000"/>
          <w:sz w:val="23"/>
          <w:szCs w:val="23"/>
        </w:rPr>
        <w:t xml:space="preserve">. Es un derivado de metoxi-2-benzamida; relacionado químicamente con la </w:t>
      </w:r>
      <w:proofErr w:type="spellStart"/>
      <w:r w:rsidRPr="002B1FDC">
        <w:rPr>
          <w:rFonts w:ascii="Helvetica" w:hAnsi="Helvetica" w:cs="Times New Roman"/>
          <w:color w:val="000000"/>
          <w:sz w:val="23"/>
          <w:szCs w:val="23"/>
        </w:rPr>
        <w:t>metoclopramida</w:t>
      </w:r>
      <w:proofErr w:type="spellEnd"/>
      <w:r w:rsidRPr="002B1FDC">
        <w:rPr>
          <w:rFonts w:ascii="Helvetica" w:hAnsi="Helvetica" w:cs="Times New Roman"/>
          <w:color w:val="000000"/>
          <w:sz w:val="23"/>
          <w:szCs w:val="23"/>
        </w:rPr>
        <w:t xml:space="preserve"> y la </w:t>
      </w:r>
      <w:proofErr w:type="spellStart"/>
      <w:r w:rsidRPr="002B1FDC">
        <w:rPr>
          <w:rFonts w:ascii="Helvetica" w:hAnsi="Helvetica" w:cs="Times New Roman"/>
          <w:color w:val="000000"/>
          <w:sz w:val="23"/>
          <w:szCs w:val="23"/>
        </w:rPr>
        <w:t>sulpirida</w:t>
      </w:r>
      <w:proofErr w:type="spellEnd"/>
      <w:r w:rsidRPr="002B1FDC">
        <w:rPr>
          <w:rFonts w:ascii="Helvetica" w:hAnsi="Helvetica" w:cs="Times New Roman"/>
          <w:color w:val="000000"/>
          <w:sz w:val="23"/>
          <w:szCs w:val="23"/>
        </w:rPr>
        <w:t xml:space="preserve">. Los efectos farmacológicos de la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son similares a los de la </w:t>
      </w:r>
      <w:proofErr w:type="spellStart"/>
      <w:r w:rsidRPr="002B1FDC">
        <w:rPr>
          <w:rFonts w:ascii="Helvetica" w:hAnsi="Helvetica" w:cs="Times New Roman"/>
          <w:color w:val="000000"/>
          <w:sz w:val="23"/>
          <w:szCs w:val="23"/>
        </w:rPr>
        <w:t>metoclopramida</w:t>
      </w:r>
      <w:proofErr w:type="spellEnd"/>
      <w:r w:rsidRPr="002B1FDC">
        <w:rPr>
          <w:rFonts w:ascii="Helvetica" w:hAnsi="Helvetica" w:cs="Times New Roman"/>
          <w:color w:val="000000"/>
          <w:sz w:val="23"/>
          <w:szCs w:val="23"/>
        </w:rPr>
        <w:t xml:space="preserve">. La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en un antagonista D</w:t>
      </w:r>
      <w:r w:rsidRPr="002B1FDC">
        <w:rPr>
          <w:rFonts w:ascii="Helvetica" w:hAnsi="Helvetica" w:cs="Times New Roman"/>
          <w:color w:val="000000"/>
          <w:sz w:val="17"/>
          <w:szCs w:val="17"/>
          <w:vertAlign w:val="subscript"/>
        </w:rPr>
        <w:t>2</w:t>
      </w:r>
      <w:r w:rsidRPr="002B1FDC">
        <w:rPr>
          <w:rFonts w:ascii="Helvetica" w:hAnsi="Helvetica" w:cs="Times New Roman"/>
          <w:color w:val="000000"/>
          <w:sz w:val="23"/>
          <w:szCs w:val="23"/>
        </w:rPr>
        <w:t> de los receptores centrales de la dopamina y a altas dosis puede presentar antagonismo por los receptores de la serotonina (5HT3).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Farmacocinética.</w:t>
      </w:r>
    </w:p>
    <w:p w:rsidR="002B1FDC" w:rsidRPr="002B1FDC" w:rsidRDefault="002B1FDC" w:rsidP="002B1FDC">
      <w:pPr>
        <w:rPr>
          <w:rFonts w:ascii="Helvetica" w:hAnsi="Helvetica" w:cs="Times New Roman"/>
          <w:color w:val="000000"/>
          <w:sz w:val="23"/>
          <w:szCs w:val="23"/>
        </w:rPr>
      </w:pPr>
      <w:r w:rsidRPr="002B1FDC">
        <w:rPr>
          <w:rFonts w:ascii="Helvetica" w:hAnsi="Helvetica" w:cs="Times New Roman"/>
          <w:i/>
          <w:iCs/>
          <w:color w:val="000000"/>
          <w:sz w:val="23"/>
          <w:szCs w:val="23"/>
        </w:rPr>
        <w:t>Absorción:</w:t>
      </w:r>
      <w:r w:rsidRPr="002B1FDC">
        <w:rPr>
          <w:rFonts w:ascii="Helvetica" w:hAnsi="Helvetica" w:cs="Times New Roman"/>
          <w:color w:val="000000"/>
          <w:sz w:val="23"/>
          <w:szCs w:val="23"/>
        </w:rPr>
        <w:t xml:space="preserve"> La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se absorbe rápidamente en un 100% en el tubo digestivo tras la administración de una dosis por vía oral, aunque procesos como los vómitos o los trastornos de la motilidad gástrica reducen su absorción. No obstante, experimenta un metabolismo hepático de primer paso que varía considerablemente entre individuos y, por consiguiente, la biodisponibilidad absoluta y la concentración plasmática están sometidos a una alta variabilidad interindividual. </w:t>
      </w:r>
      <w:r w:rsidRPr="002B1FDC">
        <w:rPr>
          <w:rFonts w:ascii="Helvetica" w:hAnsi="Helvetica" w:cs="Times New Roman"/>
          <w:i/>
          <w:iCs/>
          <w:color w:val="000000"/>
          <w:sz w:val="23"/>
          <w:szCs w:val="23"/>
        </w:rPr>
        <w:t>Distribución:</w:t>
      </w:r>
      <w:r w:rsidRPr="002B1FDC">
        <w:rPr>
          <w:rFonts w:ascii="Helvetica" w:hAnsi="Helvetica" w:cs="Times New Roman"/>
          <w:color w:val="000000"/>
          <w:sz w:val="23"/>
          <w:szCs w:val="23"/>
        </w:rPr>
        <w:t xml:space="preserve"> La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se distribuye ampliamente en el organismo, cruza fácilmente la barrera </w:t>
      </w:r>
      <w:proofErr w:type="spellStart"/>
      <w:r w:rsidRPr="002B1FDC">
        <w:rPr>
          <w:rFonts w:ascii="Helvetica" w:hAnsi="Helvetica" w:cs="Times New Roman"/>
          <w:color w:val="000000"/>
          <w:sz w:val="23"/>
          <w:szCs w:val="23"/>
        </w:rPr>
        <w:t>hematoencefálica</w:t>
      </w:r>
      <w:proofErr w:type="spellEnd"/>
      <w:r w:rsidRPr="002B1FDC">
        <w:rPr>
          <w:rFonts w:ascii="Helvetica" w:hAnsi="Helvetica" w:cs="Times New Roman"/>
          <w:color w:val="000000"/>
          <w:sz w:val="23"/>
          <w:szCs w:val="23"/>
        </w:rPr>
        <w:t xml:space="preserve"> hasta el SNC, también cruza la placenta y la leche materna. Presenta un volumen de distribución de 36 a 61 L. </w:t>
      </w:r>
      <w:r w:rsidRPr="002B1FDC">
        <w:rPr>
          <w:rFonts w:ascii="Helvetica" w:hAnsi="Helvetica" w:cs="Times New Roman"/>
          <w:i/>
          <w:iCs/>
          <w:color w:val="000000"/>
          <w:sz w:val="23"/>
          <w:szCs w:val="23"/>
        </w:rPr>
        <w:t>Metabolismo y excreción:</w:t>
      </w:r>
      <w:r w:rsidRPr="002B1FDC">
        <w:rPr>
          <w:rFonts w:ascii="Helvetica" w:hAnsi="Helvetica" w:cs="Times New Roman"/>
          <w:color w:val="000000"/>
          <w:sz w:val="23"/>
          <w:szCs w:val="23"/>
        </w:rPr>
        <w:t xml:space="preserve"> Su metabolismo es hepático. Se excreta por la orina; aproximadamente un 85% de la dosis se elimina al cabo de las 72 horas, un 20 a 30% sin modificar y el otro como conjugado sulfato o </w:t>
      </w:r>
      <w:proofErr w:type="spellStart"/>
      <w:r w:rsidRPr="002B1FDC">
        <w:rPr>
          <w:rFonts w:ascii="Helvetica" w:hAnsi="Helvetica" w:cs="Times New Roman"/>
          <w:color w:val="000000"/>
          <w:sz w:val="23"/>
          <w:szCs w:val="23"/>
        </w:rPr>
        <w:t>glucurónido</w:t>
      </w:r>
      <w:proofErr w:type="spellEnd"/>
      <w:r w:rsidRPr="002B1FDC">
        <w:rPr>
          <w:rFonts w:ascii="Helvetica" w:hAnsi="Helvetica" w:cs="Times New Roman"/>
          <w:color w:val="000000"/>
          <w:sz w:val="23"/>
          <w:szCs w:val="23"/>
        </w:rPr>
        <w:t>, o en forma de metabolitos. Aproximadamente un 5% de la dosis se excreta por las heces a través de la bilis.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Indicaciones.</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t>Antiemético.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Dosificación.</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lastRenderedPageBreak/>
        <w:t>Tabletas 2-4 tabletas (100 - 200mg/día) repartido en 2 a 3 dosis (cada 12 - 8 horas). Ampollas 2-5mg/kg/día IM o IV, repartidos en 2 o 3 aplicaciones (cada 12 - 8 horas). Solución oral Niños: 2.4-5mg/kg/día (0,6mg/gota) cada 8 o 12 horas o 2-3 gotas/kg/dosis. La duración del tratamiento no debe sobrepasar una semana.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Contraindicaciones.</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t xml:space="preserve">Hipersensibilidad al medicamento, hepatopatías, enfermedad hepática activa, </w:t>
      </w:r>
      <w:proofErr w:type="spellStart"/>
      <w:r w:rsidRPr="002B1FDC">
        <w:rPr>
          <w:rFonts w:ascii="Helvetica" w:hAnsi="Helvetica" w:cs="Times New Roman"/>
          <w:color w:val="000000"/>
          <w:sz w:val="23"/>
          <w:szCs w:val="23"/>
        </w:rPr>
        <w:t>feocromocitoma</w:t>
      </w:r>
      <w:proofErr w:type="spellEnd"/>
      <w:r w:rsidRPr="002B1FDC">
        <w:rPr>
          <w:rFonts w:ascii="Helvetica" w:hAnsi="Helvetica" w:cs="Times New Roman"/>
          <w:color w:val="000000"/>
          <w:sz w:val="23"/>
          <w:szCs w:val="23"/>
        </w:rPr>
        <w:t>, embarazo. Adminístrese con precaución en pacientes con hipercalcemia y en niños. La solución oral contiene aspartame por lo que está contraindicada en pacientes con fenilcetonuria.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Reacciones adversas.</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t xml:space="preserve">Los efectos adversos de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son, en general, leves, transitorios y reversibles con la interrupción del tratamiento. Las reacciones adversas más características son: Frecuentemente (10-25%): Agitación, somnolencia, astenia, sedación, xerostomía. Ocasionalmente (1-9%): Reacciones </w:t>
      </w:r>
      <w:proofErr w:type="spellStart"/>
      <w:r w:rsidRPr="002B1FDC">
        <w:rPr>
          <w:rFonts w:ascii="Helvetica" w:hAnsi="Helvetica" w:cs="Times New Roman"/>
          <w:color w:val="000000"/>
          <w:sz w:val="23"/>
          <w:szCs w:val="23"/>
        </w:rPr>
        <w:t>extrapiramidales</w:t>
      </w:r>
      <w:proofErr w:type="spellEnd"/>
      <w:r w:rsidRPr="002B1FDC">
        <w:rPr>
          <w:rFonts w:ascii="Helvetica" w:hAnsi="Helvetica" w:cs="Times New Roman"/>
          <w:color w:val="000000"/>
          <w:sz w:val="23"/>
          <w:szCs w:val="23"/>
        </w:rPr>
        <w:t xml:space="preserve">: </w:t>
      </w:r>
      <w:proofErr w:type="spellStart"/>
      <w:r w:rsidRPr="002B1FDC">
        <w:rPr>
          <w:rFonts w:ascii="Helvetica" w:hAnsi="Helvetica" w:cs="Times New Roman"/>
          <w:color w:val="000000"/>
          <w:sz w:val="23"/>
          <w:szCs w:val="23"/>
        </w:rPr>
        <w:t>Distonía</w:t>
      </w:r>
      <w:proofErr w:type="spellEnd"/>
      <w:r w:rsidRPr="002B1FDC">
        <w:rPr>
          <w:rFonts w:ascii="Helvetica" w:hAnsi="Helvetica" w:cs="Times New Roman"/>
          <w:color w:val="000000"/>
          <w:sz w:val="23"/>
          <w:szCs w:val="23"/>
        </w:rPr>
        <w:t xml:space="preserve"> aguda (especialmente en jóvenes y dosis diarias superiores a 4mg/kg), parkinsonismo, </w:t>
      </w:r>
      <w:proofErr w:type="spellStart"/>
      <w:r w:rsidRPr="002B1FDC">
        <w:rPr>
          <w:rFonts w:ascii="Helvetica" w:hAnsi="Helvetica" w:cs="Times New Roman"/>
          <w:color w:val="000000"/>
          <w:sz w:val="23"/>
          <w:szCs w:val="23"/>
        </w:rPr>
        <w:t>discinesia</w:t>
      </w:r>
      <w:proofErr w:type="spellEnd"/>
      <w:r w:rsidRPr="002B1FDC">
        <w:rPr>
          <w:rFonts w:ascii="Helvetica" w:hAnsi="Helvetica" w:cs="Times New Roman"/>
          <w:color w:val="000000"/>
          <w:sz w:val="23"/>
          <w:szCs w:val="23"/>
        </w:rPr>
        <w:t xml:space="preserve"> tardía (especialmente con tratamientos prolongados en ancianos) y </w:t>
      </w:r>
      <w:proofErr w:type="spellStart"/>
      <w:r w:rsidRPr="002B1FDC">
        <w:rPr>
          <w:rFonts w:ascii="Helvetica" w:hAnsi="Helvetica" w:cs="Times New Roman"/>
          <w:color w:val="000000"/>
          <w:sz w:val="23"/>
          <w:szCs w:val="23"/>
        </w:rPr>
        <w:t>acatisia</w:t>
      </w:r>
      <w:proofErr w:type="spellEnd"/>
      <w:r w:rsidRPr="002B1FDC">
        <w:rPr>
          <w:rFonts w:ascii="Helvetica" w:hAnsi="Helvetica" w:cs="Times New Roman"/>
          <w:color w:val="000000"/>
          <w:sz w:val="23"/>
          <w:szCs w:val="23"/>
        </w:rPr>
        <w:t xml:space="preserve">; mareos, náuseas, diarrea o estreñimiento. Raramente ( &lt; 1%): Ansiedad, insomnio, cefalea, hipertensión, hipotensión </w:t>
      </w:r>
      <w:proofErr w:type="spellStart"/>
      <w:r w:rsidRPr="002B1FDC">
        <w:rPr>
          <w:rFonts w:ascii="Helvetica" w:hAnsi="Helvetica" w:cs="Times New Roman"/>
          <w:color w:val="000000"/>
          <w:sz w:val="23"/>
          <w:szCs w:val="23"/>
        </w:rPr>
        <w:t>ortostática</w:t>
      </w:r>
      <w:proofErr w:type="spellEnd"/>
      <w:r w:rsidRPr="002B1FDC">
        <w:rPr>
          <w:rFonts w:ascii="Helvetica" w:hAnsi="Helvetica" w:cs="Times New Roman"/>
          <w:color w:val="000000"/>
          <w:sz w:val="23"/>
          <w:szCs w:val="23"/>
        </w:rPr>
        <w:t xml:space="preserve">, </w:t>
      </w:r>
      <w:proofErr w:type="spellStart"/>
      <w:r w:rsidRPr="002B1FDC">
        <w:rPr>
          <w:rFonts w:ascii="Helvetica" w:hAnsi="Helvetica" w:cs="Times New Roman"/>
          <w:color w:val="000000"/>
          <w:sz w:val="23"/>
          <w:szCs w:val="23"/>
        </w:rPr>
        <w:t>mioclonía</w:t>
      </w:r>
      <w:proofErr w:type="spellEnd"/>
      <w:r w:rsidRPr="002B1FDC">
        <w:rPr>
          <w:rFonts w:ascii="Helvetica" w:hAnsi="Helvetica" w:cs="Times New Roman"/>
          <w:color w:val="000000"/>
          <w:sz w:val="23"/>
          <w:szCs w:val="23"/>
        </w:rPr>
        <w:t xml:space="preserve">, </w:t>
      </w:r>
      <w:proofErr w:type="spellStart"/>
      <w:r w:rsidRPr="002B1FDC">
        <w:rPr>
          <w:rFonts w:ascii="Helvetica" w:hAnsi="Helvetica" w:cs="Times New Roman"/>
          <w:color w:val="000000"/>
          <w:sz w:val="23"/>
          <w:szCs w:val="23"/>
        </w:rPr>
        <w:t>hiperprolactinemia</w:t>
      </w:r>
      <w:proofErr w:type="spellEnd"/>
      <w:r w:rsidRPr="002B1FDC">
        <w:rPr>
          <w:rFonts w:ascii="Helvetica" w:hAnsi="Helvetica" w:cs="Times New Roman"/>
          <w:color w:val="000000"/>
          <w:sz w:val="23"/>
          <w:szCs w:val="23"/>
        </w:rPr>
        <w:t xml:space="preserve">, galactorrea, amenorrea reversible, mastalgia y ginecomastia, </w:t>
      </w:r>
      <w:proofErr w:type="spellStart"/>
      <w:r w:rsidRPr="002B1FDC">
        <w:rPr>
          <w:rFonts w:ascii="Helvetica" w:hAnsi="Helvetica" w:cs="Times New Roman"/>
          <w:color w:val="000000"/>
          <w:sz w:val="23"/>
          <w:szCs w:val="23"/>
        </w:rPr>
        <w:t>metahemoglobinemia</w:t>
      </w:r>
      <w:proofErr w:type="spellEnd"/>
      <w:r w:rsidRPr="002B1FDC">
        <w:rPr>
          <w:rFonts w:ascii="Helvetica" w:hAnsi="Helvetica" w:cs="Times New Roman"/>
          <w:color w:val="000000"/>
          <w:sz w:val="23"/>
          <w:szCs w:val="23"/>
        </w:rPr>
        <w:t xml:space="preserve"> (en recién nacidos).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Precauciones.</w:t>
      </w:r>
    </w:p>
    <w:p w:rsidR="002B1FDC" w:rsidRPr="002B1FDC" w:rsidRDefault="002B1FDC" w:rsidP="002B1FDC">
      <w:pPr>
        <w:rPr>
          <w:rFonts w:ascii="Helvetica" w:hAnsi="Helvetica" w:cs="Times New Roman"/>
          <w:color w:val="000000"/>
          <w:sz w:val="23"/>
          <w:szCs w:val="23"/>
        </w:rPr>
      </w:pPr>
      <w:r w:rsidRPr="002B1FDC">
        <w:rPr>
          <w:rFonts w:ascii="Helvetica" w:hAnsi="Helvetica" w:cs="Times New Roman"/>
          <w:i/>
          <w:iCs/>
          <w:color w:val="000000"/>
          <w:sz w:val="23"/>
          <w:szCs w:val="23"/>
        </w:rPr>
        <w:t>Efectos sobre la conducción:</w:t>
      </w:r>
      <w:r w:rsidRPr="002B1FDC">
        <w:rPr>
          <w:rFonts w:ascii="Helvetica" w:hAnsi="Helvetica" w:cs="Times New Roman"/>
          <w:color w:val="000000"/>
          <w:sz w:val="23"/>
          <w:szCs w:val="23"/>
        </w:rPr>
        <w:t xml:space="preserve"> Este medicamento puede producir agitación, somnolencia, astenia o sedación, especialmente al principio del tratamiento, por ello se aconseja no conducir hasta que no conozca con exactitud cómo le afecta este medicamento. Precaución en pacientes con úlcera péptica. La duración del tratamiento no debe exceder una semana. Se recomienda ajuste de la dosificación en pacientes con insuficiencia renal severa. No es aconsejable ingerir bebidas alcohólicas concomitantemente con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No se recomienda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en pacientes epilépticos puesto que las </w:t>
      </w:r>
      <w:proofErr w:type="spellStart"/>
      <w:r w:rsidRPr="002B1FDC">
        <w:rPr>
          <w:rFonts w:ascii="Helvetica" w:hAnsi="Helvetica" w:cs="Times New Roman"/>
          <w:color w:val="000000"/>
          <w:sz w:val="23"/>
          <w:szCs w:val="23"/>
        </w:rPr>
        <w:t>benzamidas</w:t>
      </w:r>
      <w:proofErr w:type="spellEnd"/>
      <w:r w:rsidRPr="002B1FDC">
        <w:rPr>
          <w:rFonts w:ascii="Helvetica" w:hAnsi="Helvetica" w:cs="Times New Roman"/>
          <w:color w:val="000000"/>
          <w:sz w:val="23"/>
          <w:szCs w:val="23"/>
        </w:rPr>
        <w:t xml:space="preserve"> pueden disminuir el umbral epiléptico. Como con los neurolépticos, puede presentarse síndrome neuroléptico maligno (SNM), caracterizado por hipertermia, trastornos </w:t>
      </w:r>
      <w:proofErr w:type="spellStart"/>
      <w:r w:rsidRPr="002B1FDC">
        <w:rPr>
          <w:rFonts w:ascii="Helvetica" w:hAnsi="Helvetica" w:cs="Times New Roman"/>
          <w:color w:val="000000"/>
          <w:sz w:val="23"/>
          <w:szCs w:val="23"/>
        </w:rPr>
        <w:t>extrapiramidales</w:t>
      </w:r>
      <w:proofErr w:type="spellEnd"/>
      <w:r w:rsidRPr="002B1FDC">
        <w:rPr>
          <w:rFonts w:ascii="Helvetica" w:hAnsi="Helvetica" w:cs="Times New Roman"/>
          <w:color w:val="000000"/>
          <w:sz w:val="23"/>
          <w:szCs w:val="23"/>
        </w:rPr>
        <w:t xml:space="preserve">, inestabilidad del sistema nervioso vegetativo y elevación de creatina </w:t>
      </w:r>
      <w:proofErr w:type="spellStart"/>
      <w:r w:rsidRPr="002B1FDC">
        <w:rPr>
          <w:rFonts w:ascii="Helvetica" w:hAnsi="Helvetica" w:cs="Times New Roman"/>
          <w:color w:val="000000"/>
          <w:sz w:val="23"/>
          <w:szCs w:val="23"/>
        </w:rPr>
        <w:t>fosfocinasa</w:t>
      </w:r>
      <w:proofErr w:type="spellEnd"/>
      <w:r w:rsidRPr="002B1FDC">
        <w:rPr>
          <w:rFonts w:ascii="Helvetica" w:hAnsi="Helvetica" w:cs="Times New Roman"/>
          <w:color w:val="000000"/>
          <w:sz w:val="23"/>
          <w:szCs w:val="23"/>
        </w:rPr>
        <w:t xml:space="preserve">. Por tanto, se debe tener cautela si se presenta fiebre, uno de los síntomas de SNM, y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debe suspenderse si se sospecha SNM. Deberá realizarse un especial control clínico en pacientes con insuficiencia hepática, insuficiencia renal, </w:t>
      </w:r>
      <w:proofErr w:type="spellStart"/>
      <w:r w:rsidRPr="002B1FDC">
        <w:rPr>
          <w:rFonts w:ascii="Helvetica" w:hAnsi="Helvetica" w:cs="Times New Roman"/>
          <w:color w:val="000000"/>
          <w:sz w:val="23"/>
          <w:szCs w:val="23"/>
        </w:rPr>
        <w:t>porfiria</w:t>
      </w:r>
      <w:proofErr w:type="spellEnd"/>
      <w:r w:rsidRPr="002B1FDC">
        <w:rPr>
          <w:rFonts w:ascii="Helvetica" w:hAnsi="Helvetica" w:cs="Times New Roman"/>
          <w:color w:val="000000"/>
          <w:sz w:val="23"/>
          <w:szCs w:val="23"/>
        </w:rPr>
        <w:t xml:space="preserve">, Parkinson, hipertensión, historial de depresión, embarazadas, niños y ancianos (en ambos grupos existe una mayor susceptibilidad a efectos </w:t>
      </w:r>
      <w:proofErr w:type="spellStart"/>
      <w:r w:rsidRPr="002B1FDC">
        <w:rPr>
          <w:rFonts w:ascii="Helvetica" w:hAnsi="Helvetica" w:cs="Times New Roman"/>
          <w:color w:val="000000"/>
          <w:sz w:val="23"/>
          <w:szCs w:val="23"/>
        </w:rPr>
        <w:t>extrapiramidales</w:t>
      </w:r>
      <w:proofErr w:type="spellEnd"/>
      <w:r w:rsidRPr="002B1FDC">
        <w:rPr>
          <w:rFonts w:ascii="Helvetica" w:hAnsi="Helvetica" w:cs="Times New Roman"/>
          <w:color w:val="000000"/>
          <w:sz w:val="23"/>
          <w:szCs w:val="23"/>
        </w:rPr>
        <w:t xml:space="preserve"> -</w:t>
      </w:r>
      <w:proofErr w:type="spellStart"/>
      <w:r w:rsidRPr="002B1FDC">
        <w:rPr>
          <w:rFonts w:ascii="Helvetica" w:hAnsi="Helvetica" w:cs="Times New Roman"/>
          <w:color w:val="000000"/>
          <w:sz w:val="23"/>
          <w:szCs w:val="23"/>
        </w:rPr>
        <w:t>diskinesia</w:t>
      </w:r>
      <w:proofErr w:type="spellEnd"/>
      <w:r w:rsidRPr="002B1FDC">
        <w:rPr>
          <w:rFonts w:ascii="Helvetica" w:hAnsi="Helvetica" w:cs="Times New Roman"/>
          <w:color w:val="000000"/>
          <w:sz w:val="23"/>
          <w:szCs w:val="23"/>
        </w:rPr>
        <w:t>, parkinsonismo).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Interacciones.</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t xml:space="preserve">La administración concomitante de </w:t>
      </w:r>
      <w:proofErr w:type="spellStart"/>
      <w:r w:rsidRPr="002B1FDC">
        <w:rPr>
          <w:rFonts w:ascii="Helvetica" w:hAnsi="Helvetica" w:cs="Times New Roman"/>
          <w:color w:val="000000"/>
          <w:sz w:val="23"/>
          <w:szCs w:val="23"/>
        </w:rPr>
        <w:t>selegilina</w:t>
      </w:r>
      <w:proofErr w:type="spellEnd"/>
      <w:r w:rsidRPr="002B1FDC">
        <w:rPr>
          <w:rFonts w:ascii="Helvetica" w:hAnsi="Helvetica" w:cs="Times New Roman"/>
          <w:color w:val="000000"/>
          <w:sz w:val="23"/>
          <w:szCs w:val="23"/>
        </w:rPr>
        <w:t xml:space="preserve">, un IMAO, antagonistas de dopamina con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puede reducir la efectividad de </w:t>
      </w:r>
      <w:proofErr w:type="spellStart"/>
      <w:r w:rsidRPr="002B1FDC">
        <w:rPr>
          <w:rFonts w:ascii="Helvetica" w:hAnsi="Helvetica" w:cs="Times New Roman"/>
          <w:color w:val="000000"/>
          <w:sz w:val="23"/>
          <w:szCs w:val="23"/>
        </w:rPr>
        <w:t>selegilina</w:t>
      </w:r>
      <w:proofErr w:type="spellEnd"/>
      <w:r w:rsidRPr="002B1FDC">
        <w:rPr>
          <w:rFonts w:ascii="Helvetica" w:hAnsi="Helvetica" w:cs="Times New Roman"/>
          <w:color w:val="000000"/>
          <w:sz w:val="23"/>
          <w:szCs w:val="23"/>
        </w:rPr>
        <w:t xml:space="preserve">. Este medicamento puede reducir la absorción de la </w:t>
      </w:r>
      <w:proofErr w:type="spellStart"/>
      <w:r w:rsidRPr="002B1FDC">
        <w:rPr>
          <w:rFonts w:ascii="Helvetica" w:hAnsi="Helvetica" w:cs="Times New Roman"/>
          <w:color w:val="000000"/>
          <w:sz w:val="23"/>
          <w:szCs w:val="23"/>
        </w:rPr>
        <w:t>digoxina</w:t>
      </w:r>
      <w:proofErr w:type="spellEnd"/>
      <w:r w:rsidRPr="002B1FDC">
        <w:rPr>
          <w:rFonts w:ascii="Helvetica" w:hAnsi="Helvetica" w:cs="Times New Roman"/>
          <w:color w:val="000000"/>
          <w:sz w:val="23"/>
          <w:szCs w:val="23"/>
        </w:rPr>
        <w:t xml:space="preserve">. La eficacia de este medicamento puede ser reducida por fármacos que disminuyen el peristaltismo intestinal (anticolinérgicos y analgésicos narcóticos); la toxicidad de este medicamento puede ser potenciada por sedantes (alcohol, barbitúricos, </w:t>
      </w:r>
      <w:proofErr w:type="spellStart"/>
      <w:r w:rsidRPr="002B1FDC">
        <w:rPr>
          <w:rFonts w:ascii="Helvetica" w:hAnsi="Helvetica" w:cs="Times New Roman"/>
          <w:color w:val="000000"/>
          <w:sz w:val="23"/>
          <w:szCs w:val="23"/>
        </w:rPr>
        <w:t>etc</w:t>
      </w:r>
      <w:proofErr w:type="spellEnd"/>
      <w:r w:rsidRPr="002B1FDC">
        <w:rPr>
          <w:rFonts w:ascii="Helvetica" w:hAnsi="Helvetica" w:cs="Times New Roman"/>
          <w:color w:val="000000"/>
          <w:sz w:val="23"/>
          <w:szCs w:val="23"/>
        </w:rPr>
        <w:t xml:space="preserve">). </w:t>
      </w:r>
      <w:proofErr w:type="spellStart"/>
      <w:r w:rsidRPr="002B1FDC">
        <w:rPr>
          <w:rFonts w:ascii="Helvetica" w:hAnsi="Helvetica" w:cs="Times New Roman"/>
          <w:color w:val="000000"/>
          <w:sz w:val="23"/>
          <w:szCs w:val="23"/>
        </w:rPr>
        <w:t>Levodopa</w:t>
      </w:r>
      <w:proofErr w:type="spellEnd"/>
      <w:r w:rsidRPr="002B1FDC">
        <w:rPr>
          <w:rFonts w:ascii="Helvetica" w:hAnsi="Helvetica" w:cs="Times New Roman"/>
          <w:color w:val="000000"/>
          <w:sz w:val="23"/>
          <w:szCs w:val="23"/>
        </w:rPr>
        <w:t xml:space="preserve">: Antagonismo recíproco de </w:t>
      </w:r>
      <w:proofErr w:type="spellStart"/>
      <w:r w:rsidRPr="002B1FDC">
        <w:rPr>
          <w:rFonts w:ascii="Helvetica" w:hAnsi="Helvetica" w:cs="Times New Roman"/>
          <w:color w:val="000000"/>
          <w:sz w:val="23"/>
          <w:szCs w:val="23"/>
        </w:rPr>
        <w:t>levodopa</w:t>
      </w:r>
      <w:proofErr w:type="spellEnd"/>
      <w:r w:rsidRPr="002B1FDC">
        <w:rPr>
          <w:rFonts w:ascii="Helvetica" w:hAnsi="Helvetica" w:cs="Times New Roman"/>
          <w:color w:val="000000"/>
          <w:sz w:val="23"/>
          <w:szCs w:val="23"/>
        </w:rPr>
        <w:t xml:space="preserve"> y neurolépticos. Depresores del sistema nervioso central (neurolépticos, derivados de la morfina, hipnóticos, ansiolíticos, antihistamínicos H1 sedativos, antidepresivos sedativos, barbitúricos, </w:t>
      </w:r>
      <w:proofErr w:type="spellStart"/>
      <w:r w:rsidRPr="002B1FDC">
        <w:rPr>
          <w:rFonts w:ascii="Helvetica" w:hAnsi="Helvetica" w:cs="Times New Roman"/>
          <w:color w:val="000000"/>
          <w:sz w:val="23"/>
          <w:szCs w:val="23"/>
        </w:rPr>
        <w:t>clonidina</w:t>
      </w:r>
      <w:proofErr w:type="spellEnd"/>
      <w:r w:rsidRPr="002B1FDC">
        <w:rPr>
          <w:rFonts w:ascii="Helvetica" w:hAnsi="Helvetica" w:cs="Times New Roman"/>
          <w:color w:val="000000"/>
          <w:sz w:val="23"/>
          <w:szCs w:val="23"/>
        </w:rPr>
        <w:t xml:space="preserve"> y congéneres): los efectos sedantes de los depresores del SNC y de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xml:space="preserve"> se potencializan. Anticolinérgicos: La administración concomitante podría afectar el efecto de </w:t>
      </w:r>
      <w:proofErr w:type="spellStart"/>
      <w:r w:rsidRPr="002B1FDC">
        <w:rPr>
          <w:rFonts w:ascii="Helvetica" w:hAnsi="Helvetica" w:cs="Times New Roman"/>
          <w:color w:val="000000"/>
          <w:sz w:val="23"/>
          <w:szCs w:val="23"/>
        </w:rPr>
        <w:t>alizaprida</w:t>
      </w:r>
      <w:proofErr w:type="spellEnd"/>
      <w:r w:rsidRPr="002B1FDC">
        <w:rPr>
          <w:rFonts w:ascii="Helvetica" w:hAnsi="Helvetica" w:cs="Times New Roman"/>
          <w:color w:val="000000"/>
          <w:sz w:val="23"/>
          <w:szCs w:val="23"/>
        </w:rPr>
        <w:t>.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Conservación.</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t>Almacenar a temperaturas no mayores de 30°C.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Sobredosificación.</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t xml:space="preserve">Fenómenos </w:t>
      </w:r>
      <w:proofErr w:type="spellStart"/>
      <w:r w:rsidRPr="002B1FDC">
        <w:rPr>
          <w:rFonts w:ascii="Helvetica" w:hAnsi="Helvetica" w:cs="Times New Roman"/>
          <w:color w:val="000000"/>
          <w:sz w:val="23"/>
          <w:szCs w:val="23"/>
        </w:rPr>
        <w:t>extrapiramidales</w:t>
      </w:r>
      <w:proofErr w:type="spellEnd"/>
      <w:r w:rsidRPr="002B1FDC">
        <w:rPr>
          <w:rFonts w:ascii="Helvetica" w:hAnsi="Helvetica" w:cs="Times New Roman"/>
          <w:color w:val="000000"/>
          <w:sz w:val="23"/>
          <w:szCs w:val="23"/>
        </w:rPr>
        <w:t xml:space="preserve"> y somnolencia podrían ser signos clínicos de sobredosificación. Pueden usarse relajantes musculares (por ejemplo, benzodiacepinas) y/o, en adultos solamente, </w:t>
      </w:r>
      <w:proofErr w:type="spellStart"/>
      <w:r w:rsidRPr="002B1FDC">
        <w:rPr>
          <w:rFonts w:ascii="Helvetica" w:hAnsi="Helvetica" w:cs="Times New Roman"/>
          <w:color w:val="000000"/>
          <w:sz w:val="23"/>
          <w:szCs w:val="23"/>
        </w:rPr>
        <w:t>antiparkinsonianos</w:t>
      </w:r>
      <w:proofErr w:type="spellEnd"/>
      <w:r w:rsidRPr="002B1FDC">
        <w:rPr>
          <w:rFonts w:ascii="Helvetica" w:hAnsi="Helvetica" w:cs="Times New Roman"/>
          <w:color w:val="000000"/>
          <w:sz w:val="23"/>
          <w:szCs w:val="23"/>
        </w:rPr>
        <w:t xml:space="preserve"> anticolinérgicos. </w:t>
      </w:r>
    </w:p>
    <w:p w:rsidR="002B1FDC" w:rsidRPr="002B1FDC" w:rsidRDefault="002B1FDC" w:rsidP="002B1FDC">
      <w:pPr>
        <w:spacing w:before="300" w:after="300"/>
        <w:outlineLvl w:val="3"/>
        <w:rPr>
          <w:rFonts w:ascii="Helvetica Neue" w:eastAsia="Times New Roman" w:hAnsi="Helvetica Neue" w:cs="Times New Roman"/>
          <w:b/>
          <w:bCs/>
          <w:color w:val="000000"/>
          <w:sz w:val="27"/>
          <w:szCs w:val="27"/>
        </w:rPr>
      </w:pPr>
      <w:r w:rsidRPr="002B1FDC">
        <w:rPr>
          <w:rFonts w:ascii="Helvetica Neue" w:eastAsia="Times New Roman" w:hAnsi="Helvetica Neue" w:cs="Times New Roman"/>
          <w:b/>
          <w:bCs/>
          <w:color w:val="000000"/>
          <w:sz w:val="27"/>
          <w:szCs w:val="27"/>
        </w:rPr>
        <w:t>Presentación.</w:t>
      </w:r>
    </w:p>
    <w:p w:rsidR="002B1FDC" w:rsidRPr="002B1FDC" w:rsidRDefault="002B1FDC" w:rsidP="002B1FDC">
      <w:pPr>
        <w:spacing w:after="158"/>
        <w:rPr>
          <w:rFonts w:ascii="Helvetica" w:hAnsi="Helvetica" w:cs="Times New Roman"/>
          <w:color w:val="000000"/>
          <w:sz w:val="23"/>
          <w:szCs w:val="23"/>
        </w:rPr>
      </w:pPr>
      <w:r w:rsidRPr="002B1FDC">
        <w:rPr>
          <w:rFonts w:ascii="Helvetica" w:hAnsi="Helvetica" w:cs="Times New Roman"/>
          <w:color w:val="000000"/>
          <w:sz w:val="23"/>
          <w:szCs w:val="23"/>
        </w:rPr>
        <w:t>Caja plegadiza por 20 tabletas, 2 blíster (PVC farmacéutico cubierto con papel aluminio) por 10 tabletas cada blíster. (Reg. San. INVIMA 2007M-0007395). Caja plegadiza por 5 ampollas de vidrio ámbar tipo I por 2mL. (Reg. San. INVIMA 2008M-0007858). Frasco gotero por 15mL en caja plegadiza. (Reg. San. INVIMA 2008M-0008682).</w:t>
      </w:r>
    </w:p>
    <w:p w:rsidR="0012396C" w:rsidRDefault="0012396C">
      <w:bookmarkStart w:id="0" w:name="_GoBack"/>
      <w:bookmarkEnd w:id="0"/>
    </w:p>
    <w:sectPr w:rsidR="0012396C" w:rsidSect="009348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DC"/>
    <w:rsid w:val="0012396C"/>
    <w:rsid w:val="002B1FDC"/>
    <w:rsid w:val="0093481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FDA0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B1FDC"/>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2B1FDC"/>
    <w:pPr>
      <w:spacing w:before="100" w:beforeAutospacing="1" w:after="100" w:afterAutospacing="1"/>
      <w:outlineLvl w:val="1"/>
    </w:pPr>
    <w:rPr>
      <w:rFonts w:ascii="Times" w:hAnsi="Times"/>
      <w:b/>
      <w:bCs/>
      <w:sz w:val="36"/>
      <w:szCs w:val="36"/>
    </w:rPr>
  </w:style>
  <w:style w:type="paragraph" w:styleId="Ttulo4">
    <w:name w:val="heading 4"/>
    <w:basedOn w:val="Normal"/>
    <w:link w:val="Ttulo4Car"/>
    <w:uiPriority w:val="9"/>
    <w:qFormat/>
    <w:rsid w:val="002B1FDC"/>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1FDC"/>
    <w:rPr>
      <w:rFonts w:ascii="Times" w:hAnsi="Times"/>
      <w:b/>
      <w:bCs/>
      <w:kern w:val="36"/>
      <w:sz w:val="48"/>
      <w:szCs w:val="48"/>
    </w:rPr>
  </w:style>
  <w:style w:type="character" w:customStyle="1" w:styleId="Ttulo2Car">
    <w:name w:val="Título 2 Car"/>
    <w:basedOn w:val="Fuentedeprrafopredeter"/>
    <w:link w:val="Ttulo2"/>
    <w:uiPriority w:val="9"/>
    <w:rsid w:val="002B1FDC"/>
    <w:rPr>
      <w:rFonts w:ascii="Times" w:hAnsi="Times"/>
      <w:b/>
      <w:bCs/>
      <w:sz w:val="36"/>
      <w:szCs w:val="36"/>
    </w:rPr>
  </w:style>
  <w:style w:type="character" w:customStyle="1" w:styleId="Ttulo4Car">
    <w:name w:val="Título 4 Car"/>
    <w:basedOn w:val="Fuentedeprrafopredeter"/>
    <w:link w:val="Ttulo4"/>
    <w:uiPriority w:val="9"/>
    <w:rsid w:val="002B1FDC"/>
    <w:rPr>
      <w:rFonts w:ascii="Times" w:hAnsi="Times"/>
      <w:b/>
      <w:bCs/>
    </w:rPr>
  </w:style>
  <w:style w:type="paragraph" w:styleId="NormalWeb">
    <w:name w:val="Normal (Web)"/>
    <w:basedOn w:val="Normal"/>
    <w:uiPriority w:val="99"/>
    <w:semiHidden/>
    <w:unhideWhenUsed/>
    <w:rsid w:val="002B1FD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2B1F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B1FDC"/>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2B1FDC"/>
    <w:pPr>
      <w:spacing w:before="100" w:beforeAutospacing="1" w:after="100" w:afterAutospacing="1"/>
      <w:outlineLvl w:val="1"/>
    </w:pPr>
    <w:rPr>
      <w:rFonts w:ascii="Times" w:hAnsi="Times"/>
      <w:b/>
      <w:bCs/>
      <w:sz w:val="36"/>
      <w:szCs w:val="36"/>
    </w:rPr>
  </w:style>
  <w:style w:type="paragraph" w:styleId="Ttulo4">
    <w:name w:val="heading 4"/>
    <w:basedOn w:val="Normal"/>
    <w:link w:val="Ttulo4Car"/>
    <w:uiPriority w:val="9"/>
    <w:qFormat/>
    <w:rsid w:val="002B1FDC"/>
    <w:pPr>
      <w:spacing w:before="100" w:beforeAutospacing="1" w:after="100" w:afterAutospacing="1"/>
      <w:outlineLvl w:val="3"/>
    </w:pPr>
    <w:rPr>
      <w:rFonts w:ascii="Times" w:hAnsi="Time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1FDC"/>
    <w:rPr>
      <w:rFonts w:ascii="Times" w:hAnsi="Times"/>
      <w:b/>
      <w:bCs/>
      <w:kern w:val="36"/>
      <w:sz w:val="48"/>
      <w:szCs w:val="48"/>
    </w:rPr>
  </w:style>
  <w:style w:type="character" w:customStyle="1" w:styleId="Ttulo2Car">
    <w:name w:val="Título 2 Car"/>
    <w:basedOn w:val="Fuentedeprrafopredeter"/>
    <w:link w:val="Ttulo2"/>
    <w:uiPriority w:val="9"/>
    <w:rsid w:val="002B1FDC"/>
    <w:rPr>
      <w:rFonts w:ascii="Times" w:hAnsi="Times"/>
      <w:b/>
      <w:bCs/>
      <w:sz w:val="36"/>
      <w:szCs w:val="36"/>
    </w:rPr>
  </w:style>
  <w:style w:type="character" w:customStyle="1" w:styleId="Ttulo4Car">
    <w:name w:val="Título 4 Car"/>
    <w:basedOn w:val="Fuentedeprrafopredeter"/>
    <w:link w:val="Ttulo4"/>
    <w:uiPriority w:val="9"/>
    <w:rsid w:val="002B1FDC"/>
    <w:rPr>
      <w:rFonts w:ascii="Times" w:hAnsi="Times"/>
      <w:b/>
      <w:bCs/>
    </w:rPr>
  </w:style>
  <w:style w:type="paragraph" w:styleId="NormalWeb">
    <w:name w:val="Normal (Web)"/>
    <w:basedOn w:val="Normal"/>
    <w:uiPriority w:val="99"/>
    <w:semiHidden/>
    <w:unhideWhenUsed/>
    <w:rsid w:val="002B1FD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2B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767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5139</Characters>
  <Application>Microsoft Macintosh Word</Application>
  <DocSecurity>0</DocSecurity>
  <Lines>42</Lines>
  <Paragraphs>12</Paragraphs>
  <ScaleCrop>false</ScaleCrop>
  <Company>JMPT</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Paricio Talayero</dc:creator>
  <cp:keywords/>
  <dc:description/>
  <cp:lastModifiedBy>José María Paricio Talayero</cp:lastModifiedBy>
  <cp:revision>1</cp:revision>
  <dcterms:created xsi:type="dcterms:W3CDTF">2018-05-25T22:21:00Z</dcterms:created>
  <dcterms:modified xsi:type="dcterms:W3CDTF">2018-05-25T22:22:00Z</dcterms:modified>
</cp:coreProperties>
</file>